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0ADCACAE" w:rsidR="0050790F" w:rsidRPr="009844FF" w:rsidRDefault="009844FF" w:rsidP="0050790F">
      <w:pPr>
        <w:spacing w:before="240" w:after="240"/>
        <w:jc w:val="center"/>
        <w:rPr>
          <w:b/>
          <w:i/>
          <w:noProof/>
          <w:sz w:val="28"/>
          <w:szCs w:val="32"/>
        </w:rPr>
      </w:pPr>
      <w:bookmarkStart w:id="0" w:name="_GoBack"/>
      <w:bookmarkEnd w:id="0"/>
      <w:r>
        <w:rPr>
          <w:b/>
          <w:i/>
          <w:sz w:val="28"/>
          <w:szCs w:val="32"/>
        </w:rPr>
        <w:t xml:space="preserve">D. </w:t>
      </w:r>
      <w:r w:rsidRPr="009844FF">
        <w:rPr>
          <w:b/>
          <w:i/>
          <w:sz w:val="28"/>
          <w:szCs w:val="32"/>
        </w:rPr>
        <w:t>DECLARATION SUR L’HONNEUR RELATIVE</w:t>
      </w:r>
      <w:r w:rsidRPr="009844FF">
        <w:rPr>
          <w:b/>
          <w:i/>
          <w:sz w:val="28"/>
          <w:szCs w:val="32"/>
        </w:rPr>
        <w:br/>
        <w:t>AUX CRITERES D’EXCLUSION ET AUX CRITERES DE SELECTION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rsidR="00220641">
              <w:fldChar w:fldCharType="separate"/>
            </w:r>
            <w:r>
              <w:fldChar w:fldCharType="end"/>
            </w:r>
            <w:bookmarkEnd w:id="1"/>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w:t>
            </w:r>
            <w:r>
              <w:lastRenderedPageBreak/>
              <w:t>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t>v) tentative d’obtenir des informations confidentielles susceptibles de lui donner un avantage indu lors de la procédure d’attribution;</w:t>
            </w:r>
            <w:bookmarkEnd w:id="6"/>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7" w:name="_DV_C378"/>
            <w:r>
              <w:t>,</w:t>
            </w:r>
            <w:bookmarkEnd w:id="7"/>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8"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ou la corruption telle qu’elle est définie dans d’autres droits applicables,</w:t>
            </w:r>
            <w:bookmarkEnd w:id="10"/>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1" w:name="_DV_C384"/>
            <w:r>
              <w:t>iii)</w:t>
            </w:r>
            <w:bookmarkStart w:id="12" w:name="_DV_M250"/>
            <w:bookmarkEnd w:id="11"/>
            <w:bookmarkEnd w:id="12"/>
            <w:r>
              <w:t xml:space="preserve"> les comportements liés à une organisation criminelle </w:t>
            </w:r>
            <w:bookmarkStart w:id="13" w:name="_DV_C385"/>
            <w:r>
              <w:t>visés à l’article 2 de la décision-cadre 2008/841/JAI du Conseil</w:t>
            </w:r>
            <w:bookmarkStart w:id="14" w:name="_DV_C387"/>
            <w:bookmarkEnd w:id="13"/>
            <w:r>
              <w:t>,</w:t>
            </w:r>
            <w:bookmarkEnd w:id="14"/>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5" w:name="_DV_M251"/>
            <w:bookmarkEnd w:id="15"/>
            <w:r>
              <w:t xml:space="preserve"> le blanchiment de capitaux</w:t>
            </w:r>
            <w:bookmarkStart w:id="16" w:name="_DV_C391"/>
            <w:r>
              <w:t xml:space="preserve"> ou</w:t>
            </w:r>
            <w:bookmarkStart w:id="17" w:name="_DV_M252"/>
            <w:bookmarkEnd w:id="16"/>
            <w:bookmarkEnd w:id="17"/>
            <w:r>
              <w:t xml:space="preserve"> le financement du terrorisme </w:t>
            </w:r>
            <w:bookmarkStart w:id="18" w:name="_DV_C392"/>
            <w:r>
              <w:t>au sens de l’article 1</w:t>
            </w:r>
            <w:r>
              <w:rPr>
                <w:vertAlign w:val="superscript"/>
              </w:rPr>
              <w:t>er</w:t>
            </w:r>
            <w:r>
              <w:t>, paragraphes 3, 4 et 5, de la directive (UE) 2015/849 du Parlement européen et du Conseil</w:t>
            </w:r>
            <w:bookmarkStart w:id="19" w:name="_DV_C394"/>
            <w:bookmarkEnd w:id="18"/>
            <w:r>
              <w:t>,</w:t>
            </w:r>
            <w:bookmarkEnd w:id="19"/>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20" w:name="_DV_C395"/>
            <w:r>
              <w:rPr>
                <w:color w:val="000000"/>
              </w:rPr>
              <w:t>v)</w:t>
            </w:r>
            <w:bookmarkStart w:id="21" w:name="_DV_M253"/>
            <w:bookmarkEnd w:id="20"/>
            <w:bookmarkEnd w:id="21"/>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t xml:space="preserve">vi) </w:t>
            </w:r>
            <w:bookmarkStart w:id="23" w:name="_DV_M254"/>
            <w:bookmarkEnd w:id="22"/>
            <w:bookmarkEnd w:id="23"/>
            <w:r>
              <w:t xml:space="preserve">le travail des enfants ou les autres infractions liées à la traite des êtres humains </w:t>
            </w:r>
            <w:bookmarkStart w:id="24" w:name="_DV_C402"/>
            <w:r>
              <w:t>visées à l’article 2 de la directive 2011/36/UE du Parlement européen et du Conseil</w:t>
            </w:r>
            <w:bookmarkStart w:id="25" w:name="_DV_C404"/>
            <w:bookmarkEnd w:id="24"/>
            <w:r>
              <w:t>;</w:t>
            </w:r>
            <w:bookmarkEnd w:id="25"/>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w:t>
            </w:r>
            <w:r>
              <w:lastRenderedPageBreak/>
              <w:t xml:space="preserve">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6"/>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220641">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2CF90C8C" w14:textId="4AFC2263" w:rsidR="0078019C" w:rsidRDefault="0078019C" w:rsidP="0078019C">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lastRenderedPageBreak/>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w:t>
      </w:r>
      <w:r>
        <w:lastRenderedPageBreak/>
        <w:t xml:space="preserve">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056491" w14:paraId="0E84A4F4" w14:textId="77777777" w:rsidTr="004E3C57">
        <w:tc>
          <w:tcPr>
            <w:tcW w:w="7344" w:type="dxa"/>
            <w:shd w:val="clear" w:color="auto" w:fill="auto"/>
          </w:tcPr>
          <w:p w14:paraId="599FD8E4" w14:textId="0D9116F5" w:rsidR="00056491" w:rsidRDefault="00056491">
            <w:pPr>
              <w:pStyle w:val="Text1"/>
              <w:numPr>
                <w:ilvl w:val="0"/>
                <w:numId w:val="7"/>
              </w:numPr>
              <w:spacing w:before="40" w:after="40"/>
              <w:rPr>
                <w:noProof/>
              </w:rPr>
            </w:pPr>
            <w:r>
              <w:t>elle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056491" w14:paraId="694283EA" w14:textId="77777777" w:rsidTr="004E3C57">
        <w:tc>
          <w:tcPr>
            <w:tcW w:w="7344" w:type="dxa"/>
            <w:shd w:val="clear" w:color="auto" w:fill="auto"/>
          </w:tcPr>
          <w:p w14:paraId="11B8D6D9" w14:textId="122A7C0A" w:rsidR="00056491" w:rsidRDefault="00056491">
            <w:pPr>
              <w:pStyle w:val="Text1"/>
              <w:numPr>
                <w:ilvl w:val="0"/>
                <w:numId w:val="7"/>
              </w:numPr>
              <w:spacing w:before="40" w:after="40"/>
              <w:rPr>
                <w:noProof/>
              </w:rPr>
            </w:pPr>
            <w:r>
              <w:t>elle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r>
              <w:t>e</w:t>
            </w:r>
            <w:r w:rsidRPr="00030EA4">
              <w:t>lle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495C7E">
      <w:pPr>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lastRenderedPageBreak/>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lastRenderedPageBreak/>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(à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220641">
              <w:fldChar w:fldCharType="separate"/>
            </w:r>
            <w:r>
              <w:fldChar w:fldCharType="end"/>
            </w:r>
          </w:p>
        </w:tc>
      </w:tr>
    </w:tbl>
    <w:p w14:paraId="781F8BFD" w14:textId="77777777" w:rsidR="00030EA4" w:rsidRDefault="00030EA4" w:rsidP="00030EA4">
      <w:pPr>
        <w:rPr>
          <w:lang w:val="fr-BE"/>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0F60C" w14:textId="77777777" w:rsidR="00220641" w:rsidRDefault="00220641" w:rsidP="0050790F">
      <w:r>
        <w:separator/>
      </w:r>
    </w:p>
  </w:endnote>
  <w:endnote w:type="continuationSeparator" w:id="0">
    <w:p w14:paraId="5F29424F" w14:textId="77777777" w:rsidR="00220641" w:rsidRDefault="00220641"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3D6A70CE" w:rsidR="005D262A" w:rsidRDefault="005D262A">
        <w:pPr>
          <w:pStyle w:val="Footer"/>
          <w:jc w:val="right"/>
        </w:pPr>
        <w:r>
          <w:fldChar w:fldCharType="begin"/>
        </w:r>
        <w:r>
          <w:instrText xml:space="preserve"> PAGE   \* MERGEFORMAT </w:instrText>
        </w:r>
        <w:r>
          <w:fldChar w:fldCharType="separate"/>
        </w:r>
        <w:r w:rsidR="001549DB">
          <w:rPr>
            <w:noProof/>
          </w:rPr>
          <w:t>8</w:t>
        </w:r>
        <w:r>
          <w:fldChar w:fldCharType="end"/>
        </w:r>
      </w:p>
    </w:sdtContent>
  </w:sdt>
  <w:p w14:paraId="09653982" w14:textId="16720C7E" w:rsidR="005D262A" w:rsidRDefault="00F75767">
    <w:pPr>
      <w:pStyle w:val="Footer"/>
    </w:pPr>
    <w:r>
      <w:t xml:space="preserve">Format : Version du PRAG </w:t>
    </w:r>
    <w:r w:rsidR="008475CD">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6C90C" w14:textId="77777777" w:rsidR="00220641" w:rsidRDefault="00220641" w:rsidP="0050790F">
      <w:r>
        <w:separator/>
      </w:r>
    </w:p>
  </w:footnote>
  <w:footnote w:type="continuationSeparator" w:id="0">
    <w:p w14:paraId="4B79A18F" w14:textId="77777777" w:rsidR="00220641" w:rsidRDefault="00220641"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r>
        <w:rPr>
          <w:lang w:val="fr-BE"/>
        </w:rPr>
        <w:t>l’opérateur économique tant que les conditions de l’article 141, paragraphe 1, point a), du RF ne sont pas</w:t>
      </w:r>
    </w:p>
    <w:p w14:paraId="735F7067" w14:textId="57FD024F" w:rsidR="005D262A" w:rsidRDefault="005D262A">
      <w:pPr>
        <w:pStyle w:val="FootnoteText"/>
      </w:pPr>
      <w:r>
        <w:rPr>
          <w:lang w:val="fr-BE"/>
        </w:rPr>
        <w:t>remplies.</w:t>
      </w:r>
    </w:p>
  </w:footnote>
  <w:footnote w:id="2">
    <w:p w14:paraId="06F8A835" w14:textId="50DD9D0B" w:rsidR="005D262A" w:rsidRPr="00982B24" w:rsidRDefault="005D262A"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1A959FDD" w14:textId="77777777" w:rsidR="005D262A" w:rsidRPr="00982B24" w:rsidRDefault="005D262A" w:rsidP="00982B24">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7777777"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A937D55" w14:textId="77777777" w:rsidR="005D262A" w:rsidRPr="00982B24" w:rsidRDefault="005D262A" w:rsidP="00982B24">
      <w:pPr>
        <w:jc w:val="both"/>
        <w:rPr>
          <w:i/>
          <w:iCs/>
          <w:sz w:val="18"/>
          <w:szCs w:val="18"/>
          <w:highlight w:val="lightGray"/>
        </w:rPr>
      </w:pP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0B2446"/>
    <w:rsid w:val="00107F3D"/>
    <w:rsid w:val="001549DB"/>
    <w:rsid w:val="001A0725"/>
    <w:rsid w:val="001A2765"/>
    <w:rsid w:val="001D086D"/>
    <w:rsid w:val="001F3D5F"/>
    <w:rsid w:val="00217215"/>
    <w:rsid w:val="00220641"/>
    <w:rsid w:val="002362DF"/>
    <w:rsid w:val="00245B1A"/>
    <w:rsid w:val="002545AA"/>
    <w:rsid w:val="0028102F"/>
    <w:rsid w:val="00283F3F"/>
    <w:rsid w:val="00315A0E"/>
    <w:rsid w:val="00391019"/>
    <w:rsid w:val="00395A56"/>
    <w:rsid w:val="003B4F4F"/>
    <w:rsid w:val="00471225"/>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D0FE1"/>
    <w:rsid w:val="005D262A"/>
    <w:rsid w:val="00625804"/>
    <w:rsid w:val="006A44D2"/>
    <w:rsid w:val="006D056B"/>
    <w:rsid w:val="00734E64"/>
    <w:rsid w:val="00753D50"/>
    <w:rsid w:val="0078019C"/>
    <w:rsid w:val="007C4AD9"/>
    <w:rsid w:val="007D6898"/>
    <w:rsid w:val="007F00C1"/>
    <w:rsid w:val="00842070"/>
    <w:rsid w:val="008475CD"/>
    <w:rsid w:val="008A4DF2"/>
    <w:rsid w:val="008C4B07"/>
    <w:rsid w:val="008F344D"/>
    <w:rsid w:val="00941A09"/>
    <w:rsid w:val="00982B24"/>
    <w:rsid w:val="009844FF"/>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C5C3D"/>
    <w:rsid w:val="00CD1782"/>
    <w:rsid w:val="00CD37D5"/>
    <w:rsid w:val="00CE587C"/>
    <w:rsid w:val="00D32387"/>
    <w:rsid w:val="00D52827"/>
    <w:rsid w:val="00D6212C"/>
    <w:rsid w:val="00DA6672"/>
    <w:rsid w:val="00E64082"/>
    <w:rsid w:val="00E74133"/>
    <w:rsid w:val="00E80781"/>
    <w:rsid w:val="00EE606A"/>
    <w:rsid w:val="00F26952"/>
    <w:rsid w:val="00F366B5"/>
    <w:rsid w:val="00F40C88"/>
    <w:rsid w:val="00F74281"/>
    <w:rsid w:val="00F75767"/>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docId w15:val="{A8AEF44E-BAB7-4FE4-87DF-CFD02FB88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59447788">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1168711125">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7CD42-C2F0-4A9A-B581-0688FD411A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3.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B16860-B25F-4B5C-98FF-E4C27F623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3276</Words>
  <Characters>17987</Characters>
  <Application>Microsoft Office Word</Application>
  <DocSecurity>0</DocSecurity>
  <Lines>499</Lines>
  <Paragraphs>452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XXXXXXX</Company>
  <LinksUpToDate>false</LinksUpToDate>
  <CharactersWithSpaces>20811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MACHIELS Olivier (EEAS-ANTANANARIVO)</cp:lastModifiedBy>
  <cp:revision>2</cp:revision>
  <dcterms:created xsi:type="dcterms:W3CDTF">2023-02-12T13:21:00Z</dcterms:created>
  <dcterms:modified xsi:type="dcterms:W3CDTF">2023-02-12T13:21:00Z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